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WG4 Meeting #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eastAsia="宋体" w:cs="Arial"/>
          <w:b/>
          <w:lang w:val="en-US" w:eastAsia="zh-CN"/>
        </w:rPr>
        <w:t>13</w:t>
      </w:r>
      <w:r>
        <w:rPr>
          <w:rFonts w:ascii="Arial" w:hAnsi="Arial" w:cs="Arial"/>
          <w:b/>
          <w:bCs/>
        </w:rPr>
        <w:t xml:space="preserve">     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eastAsia="宋体" w:cs="Arial"/>
          <w:b/>
          <w:bCs/>
          <w:lang w:val="en-US" w:eastAsia="zh-CN"/>
        </w:rPr>
        <w:t>418429</w:t>
      </w:r>
      <w:bookmarkStart w:id="7" w:name="_GoBack"/>
      <w:bookmarkEnd w:id="7"/>
    </w:p>
    <w:p>
      <w:pPr>
        <w:pStyle w:val="15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Orlando, US,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November, 2024</w:t>
      </w:r>
    </w:p>
    <w:p>
      <w:pPr>
        <w:tabs>
          <w:tab w:val="left" w:pos="1985"/>
        </w:tabs>
        <w:rPr>
          <w:b/>
          <w:sz w:val="22"/>
        </w:rPr>
      </w:pPr>
    </w:p>
    <w:p>
      <w:pPr>
        <w:tabs>
          <w:tab w:val="left" w:pos="1765"/>
          <w:tab w:val="center" w:pos="4557"/>
        </w:tabs>
        <w:rPr>
          <w:rFonts w:hint="default" w:eastAsia="宋体"/>
          <w:b/>
          <w:sz w:val="22"/>
          <w:lang w:val="en-US" w:eastAsia="zh-CN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 w:eastAsia="宋体"/>
          <w:b w:val="0"/>
          <w:bCs/>
          <w:sz w:val="22"/>
          <w:lang w:val="en-US" w:eastAsia="zh-CN"/>
        </w:rPr>
        <w:t>7</w:t>
      </w:r>
      <w:r>
        <w:rPr>
          <w:rFonts w:hint="eastAsia" w:eastAsia="宋体"/>
          <w:b w:val="0"/>
          <w:bCs/>
          <w:sz w:val="22"/>
          <w:highlight w:val="none"/>
          <w:lang w:val="en-US" w:eastAsia="zh-CN"/>
        </w:rPr>
        <w:t>.1</w:t>
      </w:r>
      <w:r>
        <w:rPr>
          <w:rFonts w:hint="eastAsia" w:eastAsia="宋体"/>
          <w:sz w:val="22"/>
          <w:highlight w:val="none"/>
          <w:lang w:val="en-US" w:eastAsia="zh-CN"/>
        </w:rPr>
        <w:t>6.3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OLE_LINK8"/>
      <w:bookmarkStart w:id="3" w:name="OLE_LINK7"/>
      <w:r>
        <w:rPr>
          <w:sz w:val="22"/>
        </w:rPr>
        <w:t xml:space="preserve"> </w:t>
      </w:r>
      <w:r>
        <w:rPr>
          <w:rFonts w:hint="eastAsia"/>
          <w:sz w:val="22"/>
        </w:rPr>
        <w:t>Simulation results for BS interference suppressing with MMSE-IRC</w:t>
      </w:r>
    </w:p>
    <w:bookmarkEnd w:id="2"/>
    <w:bookmarkEnd w:id="3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tabs>
          <w:tab w:val="left" w:pos="1134"/>
        </w:tabs>
        <w:spacing w:before="60"/>
        <w:jc w:val="both"/>
        <w:rPr>
          <w:rFonts w:hint="eastAsia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Based on the simulation assumption approved in last meeting[1], we give our simulation results.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4" w:name="OLE_LINK1"/>
      <w:bookmarkStart w:id="5" w:name="OLE_LINK2"/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  <w:lang w:val="en-US" w:eastAsia="zh-CN"/>
        </w:rPr>
        <w:t>Simulation results</w:t>
      </w:r>
    </w:p>
    <w:p>
      <w:pPr>
        <w:spacing w:before="60"/>
        <w:rPr>
          <w:rFonts w:hint="default"/>
          <w:b/>
          <w:bCs/>
          <w:sz w:val="20"/>
          <w:szCs w:val="20"/>
          <w:u w:val="single"/>
          <w:lang w:val="en-US"/>
        </w:rPr>
      </w:pPr>
      <w:bookmarkStart w:id="6" w:name="_Hlk70326378"/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PUSCH requirements with interference</w:t>
      </w:r>
    </w:p>
    <w:p>
      <w:pPr>
        <w:tabs>
          <w:tab w:val="left" w:pos="1134"/>
          <w:tab w:val="left" w:pos="6000"/>
        </w:tabs>
        <w:spacing w:before="156" w:before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</w:p>
    <w:tbl>
      <w:tblPr>
        <w:tblStyle w:val="20"/>
        <w:tblW w:w="84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8"/>
        <w:gridCol w:w="1657"/>
        <w:gridCol w:w="2343"/>
        <w:gridCol w:w="2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168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343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  <w:t>SNR for HomoNet (dB)</w:t>
            </w:r>
          </w:p>
        </w:tc>
        <w:tc>
          <w:tcPr>
            <w:tcW w:w="2289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  <w:t>SNR for HetNet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168" w:type="dxa"/>
            <w:vMerge w:val="restart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  <w:t>1T2R (1 interference)</w:t>
            </w:r>
          </w:p>
        </w:tc>
        <w:tc>
          <w:tcPr>
            <w:tcW w:w="1657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  <w:t>MMSE-IRC</w:t>
            </w:r>
          </w:p>
        </w:tc>
        <w:tc>
          <w:tcPr>
            <w:tcW w:w="2343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  <w:t>1.3</w:t>
            </w:r>
          </w:p>
        </w:tc>
        <w:tc>
          <w:tcPr>
            <w:tcW w:w="2289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  <w:t>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  <w:t>MMSE-MRC</w:t>
            </w:r>
          </w:p>
        </w:tc>
        <w:tc>
          <w:tcPr>
            <w:tcW w:w="2343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  <w:t>4.7</w:t>
            </w:r>
          </w:p>
        </w:tc>
        <w:tc>
          <w:tcPr>
            <w:tcW w:w="2289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  <w:t>9.3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  <w:t>Gain</w:t>
            </w:r>
          </w:p>
        </w:tc>
        <w:tc>
          <w:tcPr>
            <w:tcW w:w="2343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  <w:t>3.4</w:t>
            </w:r>
          </w:p>
        </w:tc>
        <w:tc>
          <w:tcPr>
            <w:tcW w:w="2289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  <w:t>6.6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168" w:type="dxa"/>
            <w:vMerge w:val="restart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  <w:t>1T2R (2 interference)</w:t>
            </w:r>
          </w:p>
        </w:tc>
        <w:tc>
          <w:tcPr>
            <w:tcW w:w="165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  <w:t>MMSE-IRC</w:t>
            </w:r>
          </w:p>
        </w:tc>
        <w:tc>
          <w:tcPr>
            <w:tcW w:w="2343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2289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  <w:t>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168" w:type="dxa"/>
            <w:vMerge w:val="continue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5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  <w:t>MMSE-MRC</w:t>
            </w:r>
          </w:p>
        </w:tc>
        <w:tc>
          <w:tcPr>
            <w:tcW w:w="2343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  <w:t>7.2</w:t>
            </w:r>
          </w:p>
        </w:tc>
        <w:tc>
          <w:tcPr>
            <w:tcW w:w="2289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168" w:type="dxa"/>
            <w:vMerge w:val="continue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5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  <w:t>Gain</w:t>
            </w:r>
          </w:p>
        </w:tc>
        <w:tc>
          <w:tcPr>
            <w:tcW w:w="2343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  <w:t>4.2</w:t>
            </w:r>
          </w:p>
        </w:tc>
        <w:tc>
          <w:tcPr>
            <w:tcW w:w="2289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  <w:t>7.4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168" w:type="dxa"/>
            <w:vMerge w:val="restart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  <w:t>1T4R</w:t>
            </w:r>
          </w:p>
        </w:tc>
        <w:tc>
          <w:tcPr>
            <w:tcW w:w="165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  <w:t>MMSE-IRC</w:t>
            </w:r>
          </w:p>
        </w:tc>
        <w:tc>
          <w:tcPr>
            <w:tcW w:w="2343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  <w:t>5.5</w:t>
            </w:r>
          </w:p>
        </w:tc>
        <w:tc>
          <w:tcPr>
            <w:tcW w:w="2289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  <w:t>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1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5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  <w:t>MMSE-MRC</w:t>
            </w:r>
          </w:p>
        </w:tc>
        <w:tc>
          <w:tcPr>
            <w:tcW w:w="2343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  <w:t>10.1</w:t>
            </w:r>
          </w:p>
        </w:tc>
        <w:tc>
          <w:tcPr>
            <w:tcW w:w="2289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1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5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  <w:t>Gain</w:t>
            </w:r>
          </w:p>
        </w:tc>
        <w:tc>
          <w:tcPr>
            <w:tcW w:w="2343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  <w:t>4.6</w:t>
            </w:r>
          </w:p>
        </w:tc>
        <w:tc>
          <w:tcPr>
            <w:tcW w:w="2289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  <w:t>10.7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2168" w:type="dxa"/>
            <w:vMerge w:val="restart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  <w:t>1T8R</w:t>
            </w:r>
          </w:p>
        </w:tc>
        <w:tc>
          <w:tcPr>
            <w:tcW w:w="165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  <w:t>MMSE-IRC</w:t>
            </w:r>
          </w:p>
        </w:tc>
        <w:tc>
          <w:tcPr>
            <w:tcW w:w="2343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  <w:t>10.8</w:t>
            </w:r>
          </w:p>
        </w:tc>
        <w:tc>
          <w:tcPr>
            <w:tcW w:w="2289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  <w:t>10.1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1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5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  <w:t>MMSE-MRC</w:t>
            </w:r>
          </w:p>
        </w:tc>
        <w:tc>
          <w:tcPr>
            <w:tcW w:w="2343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  <w:t>16.2</w:t>
            </w:r>
          </w:p>
        </w:tc>
        <w:tc>
          <w:tcPr>
            <w:tcW w:w="2289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vertAlign w:val="baseli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168" w:type="dxa"/>
            <w:vMerge w:val="continue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57" w:type="dxa"/>
            <w:vAlign w:val="top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  <w:t>Gain</w:t>
            </w:r>
          </w:p>
        </w:tc>
        <w:tc>
          <w:tcPr>
            <w:tcW w:w="2343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  <w:t>5.4</w:t>
            </w:r>
          </w:p>
        </w:tc>
        <w:tc>
          <w:tcPr>
            <w:tcW w:w="2289" w:type="dxa"/>
          </w:tcPr>
          <w:p>
            <w:pPr>
              <w:tabs>
                <w:tab w:val="left" w:pos="1134"/>
                <w:tab w:val="left" w:pos="6000"/>
              </w:tabs>
              <w:spacing w:before="156" w:beforeLines="50"/>
              <w:jc w:val="both"/>
              <w:rPr>
                <w:rFonts w:hint="default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i/>
                <w:iCs/>
                <w:sz w:val="20"/>
                <w:szCs w:val="20"/>
                <w:highlight w:val="green"/>
                <w:vertAlign w:val="baseline"/>
                <w:lang w:val="en-US" w:eastAsia="zh-CN"/>
              </w:rPr>
              <w:t>9.9</w:t>
            </w:r>
          </w:p>
        </w:tc>
      </w:tr>
    </w:tbl>
    <w:p>
      <w:pPr>
        <w:tabs>
          <w:tab w:val="left" w:pos="1134"/>
          <w:tab w:val="left" w:pos="6000"/>
        </w:tabs>
        <w:spacing w:before="156" w:before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</w:p>
    <w:bookmarkEnd w:id="6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spacing w:before="60"/>
        <w:rPr>
          <w:rFonts w:hint="default"/>
          <w:sz w:val="20"/>
          <w:szCs w:val="20"/>
          <w:lang w:val="en-US"/>
        </w:rPr>
      </w:pPr>
      <w:r>
        <w:rPr>
          <w:sz w:val="20"/>
          <w:szCs w:val="20"/>
        </w:rPr>
        <w:t xml:space="preserve">In this contribution, we </w:t>
      </w:r>
      <w:r>
        <w:rPr>
          <w:rFonts w:hint="eastAsia" w:eastAsia="宋体"/>
          <w:sz w:val="20"/>
          <w:szCs w:val="20"/>
          <w:lang w:val="en-US" w:eastAsia="zh-CN"/>
        </w:rPr>
        <w:t>provides some initial simulation results for BS MMSE-IRC receiver</w:t>
      </w:r>
      <w:bookmarkEnd w:id="4"/>
      <w:bookmarkEnd w:id="5"/>
      <w:r>
        <w:rPr>
          <w:rFonts w:hint="eastAsia" w:eastAsia="宋体"/>
          <w:sz w:val="20"/>
          <w:szCs w:val="20"/>
          <w:lang w:val="en-US" w:eastAsia="zh-CN"/>
        </w:rPr>
        <w:t>.</w:t>
      </w:r>
    </w:p>
    <w:p>
      <w:pPr>
        <w:tabs>
          <w:tab w:val="left" w:pos="1134"/>
        </w:tabs>
        <w:spacing w:before="156" w:before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  <w:lang w:val="en-US" w:eastAsia="zh-CN"/>
        </w:rPr>
        <w:t>Simulation assumption</w:t>
      </w:r>
    </w:p>
    <w:p>
      <w:pPr>
        <w:spacing w:before="60"/>
        <w:rPr>
          <w:rFonts w:hint="default"/>
          <w:b/>
          <w:bCs/>
          <w:sz w:val="20"/>
          <w:szCs w:val="20"/>
          <w:u w:val="single"/>
          <w:lang w:val="en-US"/>
        </w:rPr>
      </w:pPr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PUSCH requirements with interference</w:t>
      </w:r>
    </w:p>
    <w:p>
      <w:pPr>
        <w:pStyle w:val="74"/>
        <w:overflowPunct/>
        <w:autoSpaceDE/>
        <w:autoSpaceDN/>
        <w:adjustRightInd/>
        <w:spacing w:after="120"/>
        <w:ind w:left="0" w:leftChars="0" w:firstLine="0" w:firstLineChars="0"/>
        <w:jc w:val="center"/>
        <w:textAlignment w:val="auto"/>
        <w:rPr>
          <w:rFonts w:eastAsia="宋体"/>
          <w:b/>
          <w:sz w:val="20"/>
          <w:szCs w:val="20"/>
          <w:lang w:eastAsia="zh-CN"/>
        </w:rPr>
      </w:pPr>
      <w:r>
        <w:rPr>
          <w:rFonts w:eastAsia="宋体"/>
          <w:b/>
          <w:sz w:val="20"/>
          <w:szCs w:val="20"/>
          <w:lang w:eastAsia="zh-CN"/>
        </w:rPr>
        <w:t>Simulation assumptions</w:t>
      </w:r>
    </w:p>
    <w:tbl>
      <w:tblPr>
        <w:tblStyle w:val="19"/>
        <w:tblW w:w="85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8"/>
        <w:gridCol w:w="2413"/>
        <w:gridCol w:w="36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01" w:type="dxa"/>
            <w:gridSpan w:val="2"/>
            <w:shd w:val="clear" w:color="auto" w:fill="auto"/>
          </w:tcPr>
          <w:p>
            <w:pPr>
              <w:pStyle w:val="32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Parameter</w:t>
            </w:r>
          </w:p>
        </w:tc>
        <w:tc>
          <w:tcPr>
            <w:tcW w:w="3633" w:type="dxa"/>
            <w:shd w:val="clear" w:color="auto" w:fill="auto"/>
          </w:tcPr>
          <w:p>
            <w:pPr>
              <w:pStyle w:val="32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01" w:type="dxa"/>
            <w:gridSpan w:val="2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Duplex mode</w:t>
            </w: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TDD,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01" w:type="dxa"/>
            <w:gridSpan w:val="2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T</w:t>
            </w:r>
            <w:r>
              <w:rPr>
                <w:rFonts w:ascii="Times New Roman" w:hAnsi="Times New Roman" w:eastAsia="宋体"/>
                <w:color w:val="auto"/>
                <w:lang w:eastAsia="zh-CN"/>
              </w:rPr>
              <w:t>DD pattern</w:t>
            </w: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Theme="minorEastAsia"/>
                <w:color w:val="auto"/>
                <w:lang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7D1S2U</w:t>
            </w:r>
          </w:p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S=6D:4G:4U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01" w:type="dxa"/>
            <w:gridSpan w:val="2"/>
            <w:shd w:val="clear" w:color="auto" w:fill="auto"/>
          </w:tcPr>
          <w:p>
            <w:pPr>
              <w:pStyle w:val="32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SCS(kHz)/Bandwidth (MHz)</w:t>
            </w: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 xml:space="preserve">TDD: </w:t>
            </w: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>3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0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kHz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/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10MHz</w:t>
            </w:r>
          </w:p>
          <w:p>
            <w:pPr>
              <w:pStyle w:val="27"/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FDD: 15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kHz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/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01" w:type="dxa"/>
            <w:gridSpan w:val="2"/>
            <w:shd w:val="clear" w:color="auto" w:fill="auto"/>
          </w:tcPr>
          <w:p>
            <w:pPr>
              <w:pStyle w:val="32"/>
              <w:jc w:val="left"/>
              <w:rPr>
                <w:rFonts w:hint="default" w:ascii="Times New Roman" w:hAnsi="Times New Roman" w:eastAsia="宋体"/>
                <w:b w:val="0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val="en-US" w:eastAsia="zh-CN"/>
              </w:rPr>
              <w:t>Transmit precoding</w:t>
            </w: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01" w:type="dxa"/>
            <w:gridSpan w:val="2"/>
            <w:shd w:val="clear" w:color="auto" w:fill="auto"/>
          </w:tcPr>
          <w:p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eastAsia="zh-CN"/>
              </w:rPr>
              <w:t>A</w:t>
            </w: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ntenna configuration</w:t>
            </w: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2 (1/2 interferes)</w:t>
            </w:r>
          </w:p>
          <w:p>
            <w:pPr>
              <w:pStyle w:val="27"/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4 (2 interferes)</w:t>
            </w:r>
          </w:p>
          <w:p>
            <w:pPr>
              <w:pStyle w:val="27"/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1</w:t>
            </w:r>
            <w:r>
              <w:rPr>
                <w:rFonts w:ascii="Times New Roman" w:hAnsi="Times New Roman" w:eastAsiaTheme="minorEastAsia"/>
                <w:color w:val="auto"/>
                <w:lang w:eastAsia="zh-CN"/>
              </w:rPr>
              <w:t>x8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 (2 interferes)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01" w:type="dxa"/>
            <w:gridSpan w:val="2"/>
            <w:shd w:val="clear" w:color="auto" w:fill="auto"/>
          </w:tcPr>
          <w:p>
            <w:pPr>
              <w:pStyle w:val="32"/>
              <w:jc w:val="left"/>
              <w:rPr>
                <w:rFonts w:ascii="Times New Roman" w:hAnsi="Times New Roman" w:eastAsia="宋体"/>
                <w:b w:val="0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eastAsia="zh-CN"/>
              </w:rPr>
              <w:t>P</w:t>
            </w:r>
            <w:r>
              <w:rPr>
                <w:rFonts w:ascii="Times New Roman" w:hAnsi="Times New Roman" w:eastAsia="宋体"/>
                <w:b w:val="0"/>
                <w:color w:val="auto"/>
                <w:lang w:eastAsia="zh-CN"/>
              </w:rPr>
              <w:t>ropagation condition</w:t>
            </w: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For both serving and interference cell</w:t>
            </w:r>
          </w:p>
          <w:p>
            <w:pPr>
              <w:pStyle w:val="27"/>
              <w:rPr>
                <w:rFonts w:hint="eastAsia" w:ascii="Times New Roman" w:hAnsi="Times New Roman" w:eastAsiaTheme="minorEastAsia"/>
                <w:color w:val="auto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>TDLC300-100 for HomNet</w:t>
            </w:r>
          </w:p>
          <w:p>
            <w:pPr>
              <w:pStyle w:val="27"/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eastAsia="zh-CN"/>
              </w:rPr>
              <w:t xml:space="preserve">TDLA30-10 for </w:t>
            </w: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HetNet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01" w:type="dxa"/>
            <w:gridSpan w:val="2"/>
            <w:shd w:val="clear" w:color="auto" w:fill="auto"/>
          </w:tcPr>
          <w:p>
            <w:pPr>
              <w:pStyle w:val="32"/>
              <w:jc w:val="left"/>
              <w:rPr>
                <w:rFonts w:hint="default" w:ascii="Times New Roman" w:hAnsi="Times New Roman" w:eastAsia="宋体"/>
                <w:b w:val="0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color w:val="auto"/>
                <w:lang w:val="en-US" w:eastAsia="zh-CN"/>
              </w:rPr>
              <w:t>MCS</w:t>
            </w: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2R: </w:t>
            </w:r>
            <w:r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  <w:t>MCS 5(QPSK, R=379/1024)</w:t>
            </w:r>
          </w:p>
          <w:p>
            <w:pPr>
              <w:pStyle w:val="27"/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 xml:space="preserve">4R: </w:t>
            </w:r>
            <w:r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  <w:t>MCS 13(16QAM, R=490/1024)</w:t>
            </w:r>
          </w:p>
          <w:p>
            <w:pPr>
              <w:pStyle w:val="27"/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auto"/>
                <w:lang w:val="en-US" w:eastAsia="zh-CN"/>
              </w:rPr>
              <w:t>8R:</w:t>
            </w:r>
            <w:r>
              <w:rPr>
                <w:rFonts w:hint="default" w:ascii="Times New Roman" w:hAnsi="Times New Roman" w:eastAsiaTheme="minorEastAsia"/>
                <w:color w:val="auto"/>
                <w:lang w:val="en-US" w:eastAsia="zh-CN"/>
              </w:rPr>
              <w:t xml:space="preserve"> MCS 24(64QAM, R=772/1024)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8" w:type="dxa"/>
            <w:tcBorders>
              <w:bottom w:val="nil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</w:t>
            </w: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U</w:t>
            </w:r>
            <w:r>
              <w:rPr>
                <w:rFonts w:ascii="Times New Roman" w:hAnsi="Times New Roman" w:eastAsia="宋体"/>
                <w:color w:val="auto"/>
              </w:rPr>
              <w:t>SCH configuration</w:t>
            </w:r>
          </w:p>
        </w:tc>
        <w:tc>
          <w:tcPr>
            <w:tcW w:w="2413" w:type="dxa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Mapping type</w:t>
            </w: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hint="default"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ascii="Times New Roman" w:hAnsi="Times New Roman" w:eastAsia="宋体"/>
                <w:color w:val="auto"/>
              </w:rPr>
              <w:t>Type A</w:t>
            </w: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/B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 xml:space="preserve">Starting symbol (S) </w:t>
            </w: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hint="eastAsia"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Length (L)</w:t>
            </w: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hint="eastAsia"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</w:rPr>
              <w:t>1</w:t>
            </w: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PRB bundling type</w:t>
            </w: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i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PRB bundling size</w:t>
            </w: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hint="eastAsia"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2488" w:type="dxa"/>
            <w:tcBorders>
              <w:bottom w:val="nil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PDSCH DMRS configuration</w:t>
            </w:r>
          </w:p>
        </w:tc>
        <w:tc>
          <w:tcPr>
            <w:tcW w:w="2413" w:type="dxa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  <w:szCs w:val="18"/>
              </w:rPr>
            </w:pPr>
            <w:r>
              <w:rPr>
                <w:rFonts w:ascii="Times New Roman" w:hAnsi="Times New Roman" w:eastAsia="宋体"/>
                <w:color w:val="auto"/>
                <w:szCs w:val="18"/>
              </w:rPr>
              <w:t>DMRS Type</w:t>
            </w: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Number of additional DMRS</w:t>
            </w: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</w:rPr>
            </w:pPr>
            <w:r>
              <w:rPr>
                <w:rFonts w:ascii="Times New Roman" w:hAnsi="Times New Roman" w:eastAsia="宋体"/>
                <w:color w:val="auto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</w:p>
        </w:tc>
        <w:tc>
          <w:tcPr>
            <w:tcW w:w="2413" w:type="dxa"/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</w:rPr>
            </w:pPr>
            <w:r>
              <w:rPr>
                <w:rFonts w:hint="eastAsia" w:ascii="Times New Roman" w:hAnsi="Times New Roman" w:eastAsia="宋体"/>
                <w:color w:val="auto"/>
              </w:rPr>
              <w:t>DM-RS sequence generation</w:t>
            </w:r>
          </w:p>
        </w:tc>
        <w:tc>
          <w:tcPr>
            <w:tcW w:w="3633" w:type="dxa"/>
            <w:shd w:val="clear" w:color="auto" w:fill="auto"/>
          </w:tcPr>
          <w:p>
            <w:pPr>
              <w:pStyle w:val="27"/>
              <w:rPr>
                <w:rFonts w:hint="eastAsia"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n</w:t>
            </w:r>
            <w:r>
              <w:rPr>
                <w:rFonts w:hint="eastAsia" w:ascii="Times New Roman" w:hAnsi="Times New Roman" w:eastAsia="宋体"/>
                <w:color w:val="auto"/>
                <w:vertAlign w:val="subscript"/>
                <w:lang w:eastAsia="zh-CN"/>
              </w:rPr>
              <w:t>SCID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 xml:space="preserve"> =0 for all cells</w:t>
            </w:r>
          </w:p>
          <w:p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Different N</w:t>
            </w:r>
            <w:r>
              <w:rPr>
                <w:rFonts w:hint="eastAsia" w:ascii="Times New Roman" w:hAnsi="Times New Roman" w:eastAsia="宋体"/>
                <w:color w:val="auto"/>
                <w:vertAlign w:val="subscript"/>
                <w:lang w:eastAsia="zh-CN"/>
              </w:rPr>
              <w:t>ID0</w:t>
            </w: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 xml:space="preserve"> for serving and interference cells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M</w:t>
            </w:r>
            <w:r>
              <w:rPr>
                <w:rFonts w:ascii="Times New Roman" w:hAnsi="Times New Roman" w:eastAsia="宋体"/>
                <w:color w:val="auto"/>
                <w:lang w:eastAsia="zh-CN"/>
              </w:rPr>
              <w:t>aximum HARQ transmissions</w:t>
            </w: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8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Redundancy version coding sequence</w:t>
            </w: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7"/>
              <w:rPr>
                <w:rFonts w:ascii="Times New Roman" w:hAnsi="Times New Roman" w:eastAsia="宋体"/>
                <w:color w:val="auto"/>
                <w:lang w:eastAsia="zh-CN"/>
              </w:rPr>
            </w:pPr>
            <w:r>
              <w:rPr>
                <w:rFonts w:ascii="Times New Roman" w:hAnsi="Times New Roman" w:eastAsia="宋体"/>
                <w:color w:val="auto"/>
                <w:lang w:eastAsia="zh-CN"/>
              </w:rPr>
              <w:t>{0,2,3,1}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rFonts w:ascii="Times New Roman" w:hAnsi="Times New Roman" w:eastAsia="宋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lang w:val="en-US" w:eastAsia="zh-CN"/>
              </w:rPr>
              <w:t>T</w:t>
            </w:r>
            <w:r>
              <w:rPr>
                <w:rFonts w:ascii="Times New Roman" w:hAnsi="Times New Roman" w:eastAsia="宋体"/>
                <w:color w:val="auto"/>
                <w:lang w:val="en-US" w:eastAsia="zh-CN"/>
              </w:rPr>
              <w:t>est metric</w:t>
            </w:r>
          </w:p>
        </w:tc>
        <w:tc>
          <w:tcPr>
            <w:tcW w:w="3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hAnsi="Times New Roman" w:eastAsia="宋体" w:cs="Symbol"/>
                <w:color w:val="auto"/>
                <w:kern w:val="0"/>
                <w:sz w:val="1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Symbol"/>
                <w:color w:val="auto"/>
                <w:kern w:val="0"/>
                <w:sz w:val="18"/>
                <w:szCs w:val="24"/>
                <w:lang w:val="en-US" w:eastAsia="zh-CN" w:bidi="ar-SA"/>
              </w:rPr>
              <w:t>SNR@</w:t>
            </w:r>
            <w:r>
              <w:rPr>
                <w:rFonts w:hint="eastAsia" w:ascii="Times New Roman" w:hAnsi="Times New Roman" w:eastAsia="宋体" w:cs="Symbol"/>
                <w:color w:val="auto"/>
                <w:kern w:val="0"/>
                <w:sz w:val="18"/>
                <w:szCs w:val="24"/>
                <w:lang w:val="en-US" w:eastAsia="zh-CN" w:bidi="ar-SA"/>
              </w:rPr>
              <w:t>7</w:t>
            </w:r>
            <w:r>
              <w:rPr>
                <w:rFonts w:ascii="Times New Roman" w:hAnsi="Times New Roman" w:eastAsia="宋体" w:cs="Symbol"/>
                <w:color w:val="auto"/>
                <w:kern w:val="0"/>
                <w:sz w:val="18"/>
                <w:szCs w:val="24"/>
                <w:lang w:val="en-US" w:eastAsia="zh-CN" w:bidi="ar-SA"/>
              </w:rPr>
              <w:t>0% max TP</w:t>
            </w:r>
          </w:p>
        </w:tc>
      </w:tr>
    </w:tbl>
    <w:p>
      <w:pPr>
        <w:rPr>
          <w:lang w:val="en-GB"/>
        </w:rPr>
      </w:pP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5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Physical cell ID</w:t>
            </w:r>
          </w:p>
        </w:tc>
        <w:tc>
          <w:tcPr>
            <w:tcW w:w="5012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Physical cell ID of 0 for the serving cell, and cell ID </w:t>
            </w:r>
            <w:r>
              <w:rPr>
                <w:rFonts w:hint="eastAsia"/>
                <w:color w:val="auto"/>
                <w:sz w:val="18"/>
                <w:szCs w:val="18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for interferer </w:t>
            </w:r>
            <w:r>
              <w:rPr>
                <w:rFonts w:hint="eastAsia"/>
                <w:color w:val="auto"/>
                <w:sz w:val="18"/>
                <w:szCs w:val="18"/>
              </w:rPr>
              <w:t>1,</w:t>
            </w:r>
            <w:r>
              <w:rPr>
                <w:color w:val="auto"/>
                <w:sz w:val="18"/>
                <w:szCs w:val="18"/>
              </w:rPr>
              <w:t xml:space="preserve"> cell ID 2 for interferer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INR values for Homogeneous deployment</w:t>
            </w:r>
          </w:p>
        </w:tc>
        <w:tc>
          <w:tcPr>
            <w:tcW w:w="5012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5.35</w:t>
            </w:r>
            <w:r>
              <w:rPr>
                <w:color w:val="auto"/>
                <w:sz w:val="18"/>
                <w:szCs w:val="18"/>
              </w:rPr>
              <w:t xml:space="preserve"> dB in case of </w:t>
            </w: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interference cells</w:t>
            </w:r>
          </w:p>
          <w:p>
            <w:pPr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7.28, -2.52</w:t>
            </w:r>
            <w:r>
              <w:rPr>
                <w:color w:val="auto"/>
                <w:sz w:val="18"/>
                <w:szCs w:val="18"/>
              </w:rPr>
              <w:t xml:space="preserve"> dB in case of 2 interference cells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>
            <w:pPr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INR values for Heterogeneous deployment</w:t>
            </w:r>
          </w:p>
        </w:tc>
        <w:tc>
          <w:tcPr>
            <w:tcW w:w="5012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9.82</w:t>
            </w: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 xml:space="preserve">dB in case of </w:t>
            </w: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1</w:t>
            </w:r>
            <w:r>
              <w:rPr>
                <w:color w:val="auto"/>
                <w:sz w:val="18"/>
                <w:szCs w:val="18"/>
              </w:rPr>
              <w:t xml:space="preserve"> interference cells</w:t>
            </w:r>
          </w:p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INRs </w:t>
            </w:r>
            <w:r>
              <w:rPr>
                <w:rFonts w:hint="eastAsia"/>
                <w:color w:val="auto"/>
                <w:sz w:val="18"/>
                <w:szCs w:val="18"/>
              </w:rPr>
              <w:t>12.38, -0.97</w:t>
            </w: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 xml:space="preserve">dB in case of </w:t>
            </w: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color w:val="auto"/>
                <w:sz w:val="18"/>
                <w:szCs w:val="18"/>
              </w:rPr>
              <w:t xml:space="preserve"> interference cells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Modulation order of interfering P</w:t>
            </w: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U</w:t>
            </w:r>
            <w:r>
              <w:rPr>
                <w:color w:val="auto"/>
                <w:sz w:val="18"/>
                <w:szCs w:val="18"/>
              </w:rPr>
              <w:t>SCH</w:t>
            </w:r>
          </w:p>
        </w:tc>
        <w:tc>
          <w:tcPr>
            <w:tcW w:w="5012" w:type="dxa"/>
          </w:tcPr>
          <w:p>
            <w:pPr>
              <w:tabs>
                <w:tab w:val="left" w:pos="720"/>
              </w:tabs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16QAM randomly modulated symbols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10" w:type="dxa"/>
          </w:tcPr>
          <w:p>
            <w:pPr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I</w:t>
            </w:r>
            <w:r>
              <w:rPr>
                <w:color w:val="auto"/>
                <w:sz w:val="18"/>
                <w:szCs w:val="18"/>
              </w:rPr>
              <w:t>nterference cell modeling</w:t>
            </w:r>
          </w:p>
        </w:tc>
        <w:tc>
          <w:tcPr>
            <w:tcW w:w="501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MS Mincho"/>
                <w:color w:val="auto"/>
                <w:sz w:val="18"/>
                <w:szCs w:val="18"/>
                <w:lang w:eastAsia="ja-JP" w:bidi="hi-IN"/>
              </w:rPr>
            </w:pPr>
            <w:r>
              <w:rPr>
                <w:color w:val="auto"/>
                <w:sz w:val="18"/>
                <w:szCs w:val="18"/>
                <w:lang w:eastAsia="ja-JP" w:bidi="hi-IN"/>
              </w:rPr>
              <w:t>Interfering cell has same channel model as for serving cell and it is independently generated for each cell.</w:t>
            </w:r>
          </w:p>
        </w:tc>
      </w:tr>
    </w:tbl>
    <w:p>
      <w:pPr>
        <w:rPr>
          <w:rFonts w:hint="eastAsia"/>
          <w:sz w:val="20"/>
          <w:szCs w:val="20"/>
          <w:u w:val="single"/>
          <w:lang w:val="en-US" w:eastAsia="zh-CN"/>
        </w:rPr>
      </w:pPr>
    </w:p>
    <w:p>
      <w:pPr>
        <w:rPr>
          <w:rFonts w:hint="eastAsia"/>
          <w:sz w:val="20"/>
          <w:szCs w:val="20"/>
          <w:u w:val="single"/>
          <w:lang w:val="en-US" w:eastAsia="zh-CN"/>
        </w:rPr>
      </w:pP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>
      <w:pPr>
        <w:rPr>
          <w:rFonts w:eastAsiaTheme="minorEastAsia"/>
          <w:sz w:val="20"/>
          <w:szCs w:val="20"/>
          <w:lang w:val="en-GB"/>
        </w:rPr>
      </w:pPr>
      <w:r>
        <w:rPr>
          <w:rFonts w:hint="eastAsia" w:eastAsiaTheme="minorEastAsia"/>
          <w:sz w:val="20"/>
          <w:szCs w:val="20"/>
          <w:lang w:val="en-GB"/>
        </w:rPr>
        <w:t>[</w:t>
      </w:r>
      <w:r>
        <w:rPr>
          <w:rFonts w:eastAsiaTheme="minorEastAsia"/>
          <w:sz w:val="20"/>
          <w:szCs w:val="20"/>
          <w:lang w:val="en-GB"/>
        </w:rPr>
        <w:t>1] R</w:t>
      </w:r>
      <w:r>
        <w:rPr>
          <w:rFonts w:hint="eastAsia" w:eastAsiaTheme="minorEastAsia"/>
          <w:sz w:val="20"/>
          <w:szCs w:val="20"/>
          <w:lang w:val="en-GB"/>
        </w:rPr>
        <w:t>4-241</w:t>
      </w:r>
      <w:r>
        <w:rPr>
          <w:rFonts w:hint="eastAsia" w:eastAsiaTheme="minorEastAsia"/>
          <w:sz w:val="20"/>
          <w:szCs w:val="20"/>
          <w:lang w:val="en-US" w:eastAsia="zh-CN"/>
        </w:rPr>
        <w:t>6555</w:t>
      </w:r>
      <w:r>
        <w:rPr>
          <w:rFonts w:eastAsiaTheme="minorEastAsia"/>
          <w:sz w:val="20"/>
          <w:szCs w:val="20"/>
          <w:lang w:val="en-GB"/>
        </w:rPr>
        <w:t xml:space="preserve">, </w:t>
      </w:r>
      <w:r>
        <w:rPr>
          <w:rFonts w:hint="eastAsia" w:eastAsiaTheme="minorEastAsia"/>
          <w:sz w:val="20"/>
          <w:szCs w:val="20"/>
          <w:lang w:val="en-GB"/>
        </w:rPr>
        <w:t>WF for [112bis][320] NR_demod_Ph5_Part2_UE</w:t>
      </w:r>
      <w:r>
        <w:rPr>
          <w:rFonts w:hint="eastAsia" w:eastAsiaTheme="minorEastAsia"/>
          <w:sz w:val="20"/>
          <w:szCs w:val="20"/>
          <w:lang w:val="en-US" w:eastAsia="zh-CN"/>
        </w:rPr>
        <w:t>, Moderator (Nokia)</w:t>
      </w:r>
    </w:p>
    <w:sectPr>
      <w:pgSz w:w="11900" w:h="16840"/>
      <w:pgMar w:top="1134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  <w:sz w:val="32"/>
        <w:szCs w:val="21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1E70"/>
    <w:rsid w:val="00021FAA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5160"/>
    <w:rsid w:val="00295CDB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102AB"/>
    <w:rsid w:val="006104D4"/>
    <w:rsid w:val="00610936"/>
    <w:rsid w:val="0061140B"/>
    <w:rsid w:val="00611657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68C"/>
    <w:rsid w:val="00724712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9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F77"/>
    <w:rsid w:val="0096459E"/>
    <w:rsid w:val="00964834"/>
    <w:rsid w:val="00964878"/>
    <w:rsid w:val="00964E1A"/>
    <w:rsid w:val="00965247"/>
    <w:rsid w:val="009652EE"/>
    <w:rsid w:val="009655CA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B77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6449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6CA0"/>
    <w:rsid w:val="00C275D7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A06"/>
    <w:rsid w:val="00F62AB7"/>
    <w:rsid w:val="00F63844"/>
    <w:rsid w:val="00F6393C"/>
    <w:rsid w:val="00F63B78"/>
    <w:rsid w:val="00F64446"/>
    <w:rsid w:val="00F64786"/>
    <w:rsid w:val="00F656AB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3E22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2163B5E"/>
    <w:rsid w:val="02195828"/>
    <w:rsid w:val="024C3B89"/>
    <w:rsid w:val="03BD00D9"/>
    <w:rsid w:val="03EC63C9"/>
    <w:rsid w:val="046240A5"/>
    <w:rsid w:val="04B95A16"/>
    <w:rsid w:val="04BD7273"/>
    <w:rsid w:val="064F52BC"/>
    <w:rsid w:val="076B39E4"/>
    <w:rsid w:val="07DC2DF1"/>
    <w:rsid w:val="07EA14B7"/>
    <w:rsid w:val="083673DB"/>
    <w:rsid w:val="09183871"/>
    <w:rsid w:val="093518E5"/>
    <w:rsid w:val="0A0B4F72"/>
    <w:rsid w:val="0A617435"/>
    <w:rsid w:val="0B031BD3"/>
    <w:rsid w:val="0B5E1C21"/>
    <w:rsid w:val="0E373442"/>
    <w:rsid w:val="0E3B3604"/>
    <w:rsid w:val="0E805B23"/>
    <w:rsid w:val="0EC114B0"/>
    <w:rsid w:val="11013757"/>
    <w:rsid w:val="113C04E1"/>
    <w:rsid w:val="11EC3624"/>
    <w:rsid w:val="12100603"/>
    <w:rsid w:val="139117AD"/>
    <w:rsid w:val="143164E7"/>
    <w:rsid w:val="14DA3FBC"/>
    <w:rsid w:val="160675EB"/>
    <w:rsid w:val="161D3503"/>
    <w:rsid w:val="16383B80"/>
    <w:rsid w:val="1706234B"/>
    <w:rsid w:val="18761C3F"/>
    <w:rsid w:val="188F4705"/>
    <w:rsid w:val="18B91234"/>
    <w:rsid w:val="18C46E74"/>
    <w:rsid w:val="19911272"/>
    <w:rsid w:val="19B41DED"/>
    <w:rsid w:val="1A7651FA"/>
    <w:rsid w:val="1C277B2A"/>
    <w:rsid w:val="1E301D20"/>
    <w:rsid w:val="1E7A1CC5"/>
    <w:rsid w:val="1FCA4D36"/>
    <w:rsid w:val="202A27D1"/>
    <w:rsid w:val="206A69BE"/>
    <w:rsid w:val="21DE3A39"/>
    <w:rsid w:val="242A63A6"/>
    <w:rsid w:val="24596D0B"/>
    <w:rsid w:val="246A4318"/>
    <w:rsid w:val="24C811D2"/>
    <w:rsid w:val="24F611B1"/>
    <w:rsid w:val="250E6F14"/>
    <w:rsid w:val="25B25E18"/>
    <w:rsid w:val="26B36FEF"/>
    <w:rsid w:val="26E20B6C"/>
    <w:rsid w:val="26E5752B"/>
    <w:rsid w:val="275A1C1F"/>
    <w:rsid w:val="278F1C29"/>
    <w:rsid w:val="282F4A63"/>
    <w:rsid w:val="283574F8"/>
    <w:rsid w:val="29E40C43"/>
    <w:rsid w:val="2AFF0F6F"/>
    <w:rsid w:val="2CB0799D"/>
    <w:rsid w:val="2CF775D2"/>
    <w:rsid w:val="2DEE751D"/>
    <w:rsid w:val="2F864066"/>
    <w:rsid w:val="30A071DD"/>
    <w:rsid w:val="30A64A5D"/>
    <w:rsid w:val="317E652A"/>
    <w:rsid w:val="32997AB4"/>
    <w:rsid w:val="32DB3929"/>
    <w:rsid w:val="32F26A43"/>
    <w:rsid w:val="33122AC2"/>
    <w:rsid w:val="33BE40E6"/>
    <w:rsid w:val="341D68C0"/>
    <w:rsid w:val="34FA3F4E"/>
    <w:rsid w:val="350908C8"/>
    <w:rsid w:val="36685403"/>
    <w:rsid w:val="36A20B27"/>
    <w:rsid w:val="3B862944"/>
    <w:rsid w:val="3CA34736"/>
    <w:rsid w:val="3F037DDD"/>
    <w:rsid w:val="406B713F"/>
    <w:rsid w:val="40CF2BC3"/>
    <w:rsid w:val="41134EC3"/>
    <w:rsid w:val="418D344D"/>
    <w:rsid w:val="41D37C5D"/>
    <w:rsid w:val="4202058A"/>
    <w:rsid w:val="429546AA"/>
    <w:rsid w:val="42FE6FA4"/>
    <w:rsid w:val="43131FB5"/>
    <w:rsid w:val="4374126F"/>
    <w:rsid w:val="437C7AE6"/>
    <w:rsid w:val="4393046C"/>
    <w:rsid w:val="44B24329"/>
    <w:rsid w:val="45150359"/>
    <w:rsid w:val="46925129"/>
    <w:rsid w:val="46C06704"/>
    <w:rsid w:val="4AA160C5"/>
    <w:rsid w:val="4AAF53D6"/>
    <w:rsid w:val="4B3D45D6"/>
    <w:rsid w:val="4D064B50"/>
    <w:rsid w:val="4DA37337"/>
    <w:rsid w:val="4DD642A7"/>
    <w:rsid w:val="4FD81069"/>
    <w:rsid w:val="501228E1"/>
    <w:rsid w:val="501677F0"/>
    <w:rsid w:val="504A4FDD"/>
    <w:rsid w:val="511C3E4C"/>
    <w:rsid w:val="52900174"/>
    <w:rsid w:val="53F83FD3"/>
    <w:rsid w:val="54182273"/>
    <w:rsid w:val="54B466F0"/>
    <w:rsid w:val="54CD03D4"/>
    <w:rsid w:val="55487CEC"/>
    <w:rsid w:val="558B6A30"/>
    <w:rsid w:val="559E607A"/>
    <w:rsid w:val="55AC361A"/>
    <w:rsid w:val="55F315BE"/>
    <w:rsid w:val="567A2310"/>
    <w:rsid w:val="579A06DD"/>
    <w:rsid w:val="580B0311"/>
    <w:rsid w:val="584D0A2B"/>
    <w:rsid w:val="58556A81"/>
    <w:rsid w:val="592D7A06"/>
    <w:rsid w:val="5B330B7A"/>
    <w:rsid w:val="5C257189"/>
    <w:rsid w:val="5C4C090E"/>
    <w:rsid w:val="5DEB6EA5"/>
    <w:rsid w:val="5E322F82"/>
    <w:rsid w:val="5F123686"/>
    <w:rsid w:val="600D6E62"/>
    <w:rsid w:val="61DB7264"/>
    <w:rsid w:val="620A7660"/>
    <w:rsid w:val="622B6C71"/>
    <w:rsid w:val="622E7DA1"/>
    <w:rsid w:val="628F7645"/>
    <w:rsid w:val="62C60989"/>
    <w:rsid w:val="659A4242"/>
    <w:rsid w:val="65CA1897"/>
    <w:rsid w:val="65DC5450"/>
    <w:rsid w:val="667944E3"/>
    <w:rsid w:val="67D31308"/>
    <w:rsid w:val="68B34721"/>
    <w:rsid w:val="6A2853AA"/>
    <w:rsid w:val="6A675B29"/>
    <w:rsid w:val="6B296F1D"/>
    <w:rsid w:val="6BF53BAD"/>
    <w:rsid w:val="6C5C2CD7"/>
    <w:rsid w:val="6C7B38DA"/>
    <w:rsid w:val="6E9107C7"/>
    <w:rsid w:val="6F71461A"/>
    <w:rsid w:val="6F997566"/>
    <w:rsid w:val="6FFE2CF5"/>
    <w:rsid w:val="705F226B"/>
    <w:rsid w:val="711D4E21"/>
    <w:rsid w:val="71882E8E"/>
    <w:rsid w:val="71C95ABE"/>
    <w:rsid w:val="74595EA3"/>
    <w:rsid w:val="74A619E4"/>
    <w:rsid w:val="74D41FF8"/>
    <w:rsid w:val="74DE1908"/>
    <w:rsid w:val="7580063C"/>
    <w:rsid w:val="75B92E5D"/>
    <w:rsid w:val="769A7557"/>
    <w:rsid w:val="76D46650"/>
    <w:rsid w:val="77DA1E49"/>
    <w:rsid w:val="78640611"/>
    <w:rsid w:val="78DD19E0"/>
    <w:rsid w:val="79355A99"/>
    <w:rsid w:val="7A9A41EB"/>
    <w:rsid w:val="7B903AA1"/>
    <w:rsid w:val="7CAD001B"/>
    <w:rsid w:val="7D0D4989"/>
    <w:rsid w:val="7DFE2E40"/>
    <w:rsid w:val="7E516DF9"/>
    <w:rsid w:val="7E675D6F"/>
    <w:rsid w:val="7E88165E"/>
    <w:rsid w:val="7F1000B5"/>
    <w:rsid w:val="7F64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="Yu Mincho Light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Revision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table" w:customStyle="1" w:styleId="77">
    <w:name w:val="网格型1"/>
    <w:basedOn w:val="19"/>
    <w:qFormat/>
    <w:uiPriority w:val="39"/>
    <w:pPr>
      <w:spacing w:after="180"/>
    </w:pPr>
    <w:rPr>
      <w:rFonts w:ascii="Calibri" w:hAnsi="Calibri" w:eastAsia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2366</Words>
  <Characters>13491</Characters>
  <Lines>112</Lines>
  <Paragraphs>31</Paragraphs>
  <TotalTime>0</TotalTime>
  <ScaleCrop>false</ScaleCrop>
  <LinksUpToDate>false</LinksUpToDate>
  <CharactersWithSpaces>15826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2024-11-08T07:48:23Z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1B5FA489B6684E2C9426DDD8CDDDA00C</vt:lpwstr>
  </property>
</Properties>
</file>